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B165" w14:textId="3FABF23B" w:rsidR="0034213F" w:rsidRPr="00353BD7" w:rsidRDefault="0034213F" w:rsidP="0034213F">
      <w:pPr>
        <w:pStyle w:val="a3"/>
        <w:ind w:firstLine="709"/>
        <w:jc w:val="center"/>
        <w:rPr>
          <w:b/>
          <w:sz w:val="28"/>
          <w:szCs w:val="28"/>
        </w:rPr>
      </w:pPr>
      <w:r w:rsidRPr="00353BD7">
        <w:rPr>
          <w:b/>
          <w:sz w:val="28"/>
          <w:szCs w:val="28"/>
        </w:rPr>
        <w:t>Формирование данных о балансе производственных</w:t>
      </w:r>
      <w:r w:rsidRPr="00353BD7">
        <w:rPr>
          <w:sz w:val="28"/>
          <w:szCs w:val="28"/>
        </w:rPr>
        <w:br/>
      </w:r>
      <w:r w:rsidRPr="00353BD7">
        <w:rPr>
          <w:b/>
          <w:sz w:val="28"/>
          <w:szCs w:val="28"/>
        </w:rPr>
        <w:t>мощностей организаций по выпуску продукции</w:t>
      </w:r>
    </w:p>
    <w:p w14:paraId="4A2D3B25" w14:textId="77777777" w:rsidR="0034213F" w:rsidRPr="00353BD7" w:rsidRDefault="0034213F" w:rsidP="0034213F">
      <w:pPr>
        <w:pStyle w:val="a3"/>
        <w:spacing w:after="0"/>
        <w:ind w:firstLine="709"/>
        <w:jc w:val="both"/>
        <w:rPr>
          <w:sz w:val="28"/>
          <w:szCs w:val="28"/>
        </w:rPr>
      </w:pPr>
      <w:r w:rsidRPr="00353BD7">
        <w:rPr>
          <w:b/>
          <w:sz w:val="28"/>
          <w:szCs w:val="28"/>
        </w:rPr>
        <w:t xml:space="preserve"> </w:t>
      </w:r>
    </w:p>
    <w:p w14:paraId="4442D0E9" w14:textId="532F0613" w:rsidR="0034213F" w:rsidRPr="00353BD7" w:rsidRDefault="0034213F" w:rsidP="0034213F">
      <w:pPr>
        <w:pStyle w:val="a3"/>
        <w:ind w:firstLine="709"/>
        <w:jc w:val="both"/>
        <w:rPr>
          <w:bCs/>
          <w:sz w:val="28"/>
          <w:szCs w:val="28"/>
          <w:u w:val="single"/>
        </w:rPr>
      </w:pPr>
      <w:r w:rsidRPr="00353BD7">
        <w:rPr>
          <w:sz w:val="28"/>
          <w:szCs w:val="28"/>
        </w:rPr>
        <w:t xml:space="preserve">Разработка статистической информации о балансе производственных мощностей осуществляется на основании данных раздела III </w:t>
      </w:r>
      <w:r w:rsidRPr="00353BD7">
        <w:rPr>
          <w:sz w:val="28"/>
          <w:szCs w:val="28"/>
        </w:rPr>
        <w:br/>
        <w:t xml:space="preserve">формы № 1-натура-БМ «Сведения о производстве, отгрузке продукции </w:t>
      </w:r>
      <w:r w:rsidRPr="00353BD7">
        <w:rPr>
          <w:sz w:val="28"/>
          <w:szCs w:val="28"/>
        </w:rPr>
        <w:br/>
        <w:t xml:space="preserve">и балансе производственных мощностей» по Номенклатуре продукции </w:t>
      </w:r>
      <w:r w:rsidRPr="00353BD7">
        <w:rPr>
          <w:sz w:val="28"/>
          <w:szCs w:val="28"/>
        </w:rPr>
        <w:br/>
        <w:t xml:space="preserve">по Общероссийскому классификатору продукции по видам экономической деятельности (ОКПД2) для разработки статистической информации </w:t>
      </w:r>
      <w:r w:rsidRPr="00353BD7">
        <w:rPr>
          <w:sz w:val="28"/>
          <w:szCs w:val="28"/>
        </w:rPr>
        <w:br/>
        <w:t xml:space="preserve">о балансе производственных мощностей по итогам за </w:t>
      </w:r>
      <w:r w:rsidRPr="00353BD7">
        <w:rPr>
          <w:b/>
          <w:sz w:val="28"/>
          <w:szCs w:val="28"/>
        </w:rPr>
        <w:t>2023</w:t>
      </w:r>
      <w:r w:rsidRPr="00353BD7">
        <w:rPr>
          <w:sz w:val="28"/>
          <w:szCs w:val="28"/>
        </w:rPr>
        <w:t xml:space="preserve"> год (далее – Номенклатура продукции о балансе производственных мощностей), размещённой на Интернет-портале Росстата по адресу: https://rosstat.gov.ru/ Статистика/ Официальная статистика/ Предпринимательство/ Промышленное производство/ Номенклатура продукции и услуг</w:t>
      </w:r>
      <w:r w:rsidR="00B60857">
        <w:rPr>
          <w:sz w:val="28"/>
          <w:szCs w:val="28"/>
        </w:rPr>
        <w:t>.</w:t>
      </w:r>
    </w:p>
    <w:p w14:paraId="7A1598DE" w14:textId="5B274CF3" w:rsidR="0034213F" w:rsidRPr="00353BD7" w:rsidRDefault="0034213F" w:rsidP="0034213F">
      <w:pPr>
        <w:spacing w:before="120"/>
        <w:ind w:firstLine="709"/>
        <w:jc w:val="both"/>
      </w:pPr>
      <w:r w:rsidRPr="00353BD7">
        <w:rPr>
          <w:b/>
          <w:bCs/>
          <w:i/>
          <w:sz w:val="28"/>
        </w:rPr>
        <w:t>Если в организации происходит перепрофилирование мощности</w:t>
      </w:r>
      <w:r w:rsidRPr="00353BD7">
        <w:rPr>
          <w:b/>
          <w:bCs/>
          <w:sz w:val="28"/>
        </w:rPr>
        <w:t>,</w:t>
      </w:r>
      <w:r w:rsidRPr="00353BD7">
        <w:rPr>
          <w:sz w:val="28"/>
        </w:rPr>
        <w:t xml:space="preserve"> т.е. на мощностях по выпуску одного вида продукции выпускается другой вид продукции, для производства которого указанная мощность не была предусмотрена, необходимо осуществить перерасчёт производственной мощности, на которой осуществлялось производство другого вида продукции. Вывод мощности и ввод новой оформляются актами </w:t>
      </w:r>
      <w:r w:rsidRPr="00353BD7">
        <w:rPr>
          <w:sz w:val="28"/>
        </w:rPr>
        <w:br/>
        <w:t xml:space="preserve">в установленном порядке. В этом случае при заполнении </w:t>
      </w:r>
      <w:r w:rsidRPr="00353BD7">
        <w:rPr>
          <w:bCs/>
          <w:sz w:val="28"/>
          <w:szCs w:val="28"/>
        </w:rPr>
        <w:t>раздела III</w:t>
      </w:r>
      <w:r w:rsidRPr="00353BD7">
        <w:rPr>
          <w:sz w:val="28"/>
        </w:rPr>
        <w:t xml:space="preserve"> </w:t>
      </w:r>
      <w:r w:rsidRPr="00353BD7">
        <w:rPr>
          <w:sz w:val="28"/>
        </w:rPr>
        <w:br/>
        <w:t xml:space="preserve">формы </w:t>
      </w:r>
      <w:r w:rsidRPr="00353BD7">
        <w:rPr>
          <w:bCs/>
          <w:sz w:val="28"/>
          <w:szCs w:val="28"/>
        </w:rPr>
        <w:t xml:space="preserve">№ 1-натура–БМ (заполняются </w:t>
      </w:r>
      <w:r w:rsidRPr="00353BD7">
        <w:rPr>
          <w:sz w:val="28"/>
        </w:rPr>
        <w:t xml:space="preserve">графы А, Б, В), в графах 2 и 7 проставляется величина увеличения мощности по этому виду продукции, </w:t>
      </w:r>
      <w:r w:rsidRPr="00353BD7">
        <w:rPr>
          <w:sz w:val="28"/>
        </w:rPr>
        <w:br/>
        <w:t xml:space="preserve">в графе 14 – </w:t>
      </w:r>
      <w:r w:rsidRPr="00353BD7">
        <w:rPr>
          <w:sz w:val="28"/>
          <w:szCs w:val="28"/>
        </w:rPr>
        <w:t>мощность на начало следующего за отчётным года</w:t>
      </w:r>
      <w:r w:rsidRPr="00353BD7">
        <w:rPr>
          <w:sz w:val="28"/>
        </w:rPr>
        <w:t xml:space="preserve">; </w:t>
      </w:r>
      <w:r w:rsidRPr="00353BD7">
        <w:rPr>
          <w:sz w:val="28"/>
          <w:u w:val="single"/>
        </w:rPr>
        <w:t>по ранее выпускаемой продукции</w:t>
      </w:r>
      <w:r w:rsidRPr="00353BD7">
        <w:rPr>
          <w:sz w:val="28"/>
        </w:rPr>
        <w:t xml:space="preserve"> в графе 1 приводится мощность на начало отчётного года, в графах 9 и 10 – величина уменьшения мощности.</w:t>
      </w:r>
    </w:p>
    <w:p w14:paraId="29967C54" w14:textId="77777777" w:rsidR="0034213F" w:rsidRPr="00353BD7" w:rsidRDefault="0034213F" w:rsidP="0034213F">
      <w:pPr>
        <w:pStyle w:val="a7"/>
        <w:spacing w:before="120" w:line="244" w:lineRule="auto"/>
        <w:ind w:firstLine="709"/>
        <w:rPr>
          <w:szCs w:val="24"/>
        </w:rPr>
      </w:pPr>
      <w:r w:rsidRPr="00353BD7">
        <w:t xml:space="preserve">В условиях многономенклатурного производства, когда на одном </w:t>
      </w:r>
      <w:r w:rsidRPr="00353BD7">
        <w:br/>
        <w:t>и том же оборудовании производятся несколько видов продукции,</w:t>
      </w:r>
      <w:r w:rsidRPr="00353BD7">
        <w:br/>
        <w:t>при определении производственной мощности допускается использование метода приведения номенклатуры товаров к одному или нескольким видам однородной продукции, принимаемой за единицу, с применением при этом коэффициентов затрат машинного времени, а также других показателей, отражающих специфику отрасли. При этом товар-представитель должен иметь наибольший удельный вес в выпуске изделий данной группы.</w:t>
      </w:r>
    </w:p>
    <w:p w14:paraId="0D2C7551" w14:textId="77777777" w:rsidR="0034213F" w:rsidRPr="00353BD7" w:rsidRDefault="0034213F" w:rsidP="0034213F">
      <w:pPr>
        <w:pStyle w:val="a7"/>
        <w:spacing w:before="120" w:line="244" w:lineRule="auto"/>
        <w:ind w:firstLine="709"/>
        <w:rPr>
          <w:b/>
          <w:bCs/>
          <w:i/>
          <w:u w:val="single"/>
        </w:rPr>
      </w:pPr>
      <w:r w:rsidRPr="00353BD7">
        <w:rPr>
          <w:szCs w:val="24"/>
        </w:rPr>
        <w:t xml:space="preserve">Информация о выпуске продукции на неспециализированных мощностях приводится в графе 17, во </w:t>
      </w:r>
      <w:proofErr w:type="spellStart"/>
      <w:r w:rsidRPr="00353BD7">
        <w:rPr>
          <w:szCs w:val="24"/>
        </w:rPr>
        <w:t>внережимное</w:t>
      </w:r>
      <w:proofErr w:type="spellEnd"/>
      <w:r w:rsidRPr="00353BD7">
        <w:rPr>
          <w:szCs w:val="24"/>
        </w:rPr>
        <w:t xml:space="preserve"> время – в графе 18 </w:t>
      </w:r>
      <w:r w:rsidRPr="00353BD7">
        <w:rPr>
          <w:szCs w:val="24"/>
        </w:rPr>
        <w:br/>
        <w:t>и не включается в данные графы 16.</w:t>
      </w:r>
    </w:p>
    <w:p w14:paraId="7D9D4CE2" w14:textId="77777777" w:rsidR="0034213F" w:rsidRPr="00353BD7" w:rsidRDefault="0034213F" w:rsidP="0034213F">
      <w:pPr>
        <w:pStyle w:val="E22"/>
        <w:widowControl/>
        <w:spacing w:before="120" w:line="244" w:lineRule="auto"/>
        <w:ind w:firstLine="709"/>
        <w:rPr>
          <w:sz w:val="28"/>
        </w:rPr>
      </w:pPr>
      <w:r w:rsidRPr="00353BD7">
        <w:rPr>
          <w:b/>
          <w:bCs/>
          <w:i/>
          <w:sz w:val="28"/>
          <w:u w:val="single"/>
        </w:rPr>
        <w:t>Необходимо иметь в виду</w:t>
      </w:r>
      <w:r w:rsidRPr="00353BD7">
        <w:rPr>
          <w:b/>
          <w:bCs/>
          <w:sz w:val="28"/>
          <w:u w:val="single"/>
        </w:rPr>
        <w:t>,</w:t>
      </w:r>
      <w:r w:rsidRPr="00353BD7">
        <w:rPr>
          <w:sz w:val="28"/>
        </w:rPr>
        <w:t xml:space="preserve"> что по отдельным видам продукции, относящимся к виду деятельности «Производство пищевых продуктов», </w:t>
      </w:r>
      <w:r w:rsidRPr="00353BD7">
        <w:rPr>
          <w:sz w:val="28"/>
        </w:rPr>
        <w:br/>
      </w:r>
      <w:r w:rsidRPr="00353BD7">
        <w:rPr>
          <w:sz w:val="28"/>
          <w:szCs w:val="28"/>
        </w:rPr>
        <w:t>по которым мощности определяются «в сутки» или «в смену»</w:t>
      </w:r>
      <w:r w:rsidRPr="00353BD7">
        <w:rPr>
          <w:sz w:val="28"/>
        </w:rPr>
        <w:t xml:space="preserve">, величина среднегодовой мощности, действовавшей в отчётном году (графа 15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и выпуск продукции или количество переработанного сырья (графа 16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должны </w:t>
      </w:r>
      <w:r w:rsidRPr="00353BD7">
        <w:rPr>
          <w:sz w:val="28"/>
        </w:rPr>
        <w:lastRenderedPageBreak/>
        <w:t xml:space="preserve">быть приведены в целом за год. Так, по производству растительного масла наличие мощности и её изменение в течение года (графы 1-14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определяются в тоннах переработки сырья </w:t>
      </w:r>
      <w:r w:rsidRPr="00353BD7">
        <w:rPr>
          <w:sz w:val="28"/>
        </w:rPr>
        <w:br/>
        <w:t xml:space="preserve">в сутки, а среднегодовая мощность и выпуск продукции (графы 15 и 16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приводятся по количеству переработанного сырья в год. Исключение составляет сахар-песок из свёклы, по которому в графах 15 и 16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приводятся данные о переработке свёклы в сутки во </w:t>
      </w:r>
      <w:r w:rsidRPr="00353BD7">
        <w:rPr>
          <w:sz w:val="28"/>
          <w:lang w:val="en-US"/>
        </w:rPr>
        <w:t>II</w:t>
      </w:r>
      <w:r w:rsidRPr="00353BD7">
        <w:rPr>
          <w:sz w:val="28"/>
        </w:rPr>
        <w:t xml:space="preserve"> полугодии отчётного года.</w:t>
      </w:r>
    </w:p>
    <w:p w14:paraId="169B7D9B" w14:textId="77777777" w:rsidR="0034213F" w:rsidRPr="00353BD7" w:rsidRDefault="0034213F" w:rsidP="0034213F">
      <w:pPr>
        <w:pStyle w:val="E22"/>
        <w:widowControl/>
        <w:spacing w:before="120" w:line="244" w:lineRule="auto"/>
        <w:ind w:firstLine="709"/>
        <w:rPr>
          <w:sz w:val="28"/>
        </w:rPr>
      </w:pPr>
      <w:r w:rsidRPr="00353BD7">
        <w:rPr>
          <w:sz w:val="28"/>
        </w:rPr>
        <w:t xml:space="preserve">Предприятия, имеющие самостоятельные цеха по выпуску масел растительных нерафинированных (маслобойный цех) и рафинированных растительных масел (цех рафинации), данные в разделе </w:t>
      </w:r>
      <w:r w:rsidRPr="00353BD7">
        <w:rPr>
          <w:sz w:val="28"/>
          <w:lang w:val="en-US"/>
        </w:rPr>
        <w:t>III</w:t>
      </w:r>
      <w:r w:rsidRPr="00353BD7">
        <w:rPr>
          <w:sz w:val="28"/>
        </w:rPr>
        <w:t xml:space="preserve"> формы </w:t>
      </w:r>
      <w:r w:rsidRPr="00353BD7">
        <w:rPr>
          <w:sz w:val="28"/>
        </w:rPr>
        <w:br/>
        <w:t>№ 1-натура</w:t>
      </w:r>
      <w:r w:rsidRPr="00353BD7">
        <w:rPr>
          <w:sz w:val="28"/>
          <w:szCs w:val="28"/>
        </w:rPr>
        <w:t>-</w:t>
      </w:r>
      <w:r w:rsidRPr="00353BD7">
        <w:rPr>
          <w:sz w:val="28"/>
        </w:rPr>
        <w:t>БМ должны приводить по каждой из указанных мощностей раздельно.</w:t>
      </w:r>
    </w:p>
    <w:p w14:paraId="662E4E64" w14:textId="77777777" w:rsidR="0034213F" w:rsidRPr="00353BD7" w:rsidRDefault="0034213F" w:rsidP="0034213F">
      <w:pPr>
        <w:spacing w:before="120" w:line="244" w:lineRule="auto"/>
        <w:ind w:firstLine="709"/>
        <w:jc w:val="both"/>
        <w:rPr>
          <w:sz w:val="28"/>
        </w:rPr>
      </w:pPr>
      <w:r w:rsidRPr="00353BD7">
        <w:rPr>
          <w:sz w:val="28"/>
        </w:rPr>
        <w:t xml:space="preserve">Действовавшая в отчётном году </w:t>
      </w:r>
      <w:r w:rsidRPr="00353BD7">
        <w:rPr>
          <w:b/>
          <w:bCs/>
          <w:i/>
          <w:sz w:val="28"/>
        </w:rPr>
        <w:t>среднегодовая мощность предприятий по производству мяса и молочной продукции</w:t>
      </w:r>
      <w:r w:rsidRPr="00353BD7">
        <w:rPr>
          <w:b/>
          <w:bCs/>
          <w:sz w:val="28"/>
        </w:rPr>
        <w:t xml:space="preserve"> </w:t>
      </w:r>
      <w:r w:rsidRPr="00353BD7">
        <w:rPr>
          <w:sz w:val="28"/>
        </w:rPr>
        <w:t xml:space="preserve">в соответствии с отраслевой Инструкцией по определению производственных мощностей </w:t>
      </w:r>
      <w:r w:rsidRPr="00353BD7">
        <w:rPr>
          <w:sz w:val="28"/>
        </w:rPr>
        <w:br/>
        <w:t xml:space="preserve">и Нормами технологического проектирования предприятий определяется посредством умножения величины среднесменной мощности за год на число смен работы предприятия в год по тому или иному виду продукции </w:t>
      </w:r>
      <w:r w:rsidRPr="00353BD7">
        <w:rPr>
          <w:sz w:val="28"/>
        </w:rPr>
        <w:br/>
        <w:t>в соответствии с вышеназванными документами. Расчёт среднесменной мощности (при изменении в течение года действующей сменной мощности) производится аналогично расчётам среднегодовой мощности.</w:t>
      </w:r>
    </w:p>
    <w:p w14:paraId="19823D2E" w14:textId="77777777" w:rsidR="0034213F" w:rsidRPr="00353BD7" w:rsidRDefault="0034213F" w:rsidP="0034213F">
      <w:pPr>
        <w:spacing w:before="120" w:line="244" w:lineRule="auto"/>
        <w:ind w:firstLine="709"/>
        <w:jc w:val="both"/>
        <w:rPr>
          <w:sz w:val="28"/>
        </w:rPr>
      </w:pPr>
      <w:r w:rsidRPr="00353BD7">
        <w:rPr>
          <w:sz w:val="28"/>
        </w:rPr>
        <w:t xml:space="preserve">Расчёт </w:t>
      </w:r>
      <w:r w:rsidRPr="00353BD7">
        <w:rPr>
          <w:b/>
          <w:bCs/>
          <w:i/>
          <w:sz w:val="28"/>
        </w:rPr>
        <w:t xml:space="preserve">среднегодовой производственной мощности предприятия </w:t>
      </w:r>
      <w:r w:rsidRPr="00353BD7">
        <w:rPr>
          <w:b/>
          <w:bCs/>
          <w:i/>
          <w:sz w:val="28"/>
        </w:rPr>
        <w:br/>
        <w:t xml:space="preserve">по выпуску хлеба и хлебобулочных изделий </w:t>
      </w:r>
      <w:r w:rsidRPr="00353BD7">
        <w:rPr>
          <w:sz w:val="28"/>
        </w:rPr>
        <w:t xml:space="preserve">определяется путём умножения величины суточной технической производительности по каждой печи </w:t>
      </w:r>
      <w:r w:rsidRPr="00353BD7">
        <w:rPr>
          <w:sz w:val="28"/>
        </w:rPr>
        <w:br/>
        <w:t>на годовой фонд времени работы каждой из них и последующего суммирования полученных результатов.</w:t>
      </w:r>
    </w:p>
    <w:p w14:paraId="3471C1F0" w14:textId="77777777" w:rsidR="0034213F" w:rsidRPr="00353BD7" w:rsidRDefault="0034213F" w:rsidP="0034213F">
      <w:pPr>
        <w:spacing w:before="120" w:line="244" w:lineRule="auto"/>
        <w:ind w:firstLine="709"/>
        <w:jc w:val="both"/>
      </w:pPr>
      <w:r w:rsidRPr="00353BD7">
        <w:rPr>
          <w:sz w:val="28"/>
        </w:rPr>
        <w:t>По сообщению Росрыболовства,</w:t>
      </w:r>
      <w:r w:rsidRPr="00353BD7">
        <w:rPr>
          <w:b/>
          <w:bCs/>
          <w:sz w:val="28"/>
        </w:rPr>
        <w:t xml:space="preserve"> для организаций, осуществляющих улов рыбы и переработку рыбной продукции </w:t>
      </w:r>
      <w:r w:rsidRPr="00353BD7">
        <w:rPr>
          <w:sz w:val="28"/>
        </w:rPr>
        <w:t>на борту рыболовных судов</w:t>
      </w:r>
      <w:r w:rsidRPr="00353BD7">
        <w:rPr>
          <w:b/>
          <w:bCs/>
          <w:sz w:val="28"/>
        </w:rPr>
        <w:t>:</w:t>
      </w:r>
    </w:p>
    <w:p w14:paraId="0B29DED2" w14:textId="69E0535C" w:rsidR="0034213F" w:rsidRPr="00353BD7" w:rsidRDefault="0034213F" w:rsidP="0034213F">
      <w:pPr>
        <w:pStyle w:val="a7"/>
        <w:spacing w:line="244" w:lineRule="auto"/>
        <w:ind w:firstLine="709"/>
        <w:rPr>
          <w:bCs/>
        </w:rPr>
      </w:pPr>
      <w:r w:rsidRPr="00353BD7">
        <w:t xml:space="preserve">- годовые производственные мощности по технологическому оборудованию для переработки рыбной продукции (графа 14 </w:t>
      </w:r>
      <w:r w:rsidRPr="00353BD7">
        <w:rPr>
          <w:bCs/>
          <w:szCs w:val="28"/>
        </w:rPr>
        <w:t>раздела III формы № 1-натура</w:t>
      </w:r>
      <w:r w:rsidRPr="00353BD7">
        <w:rPr>
          <w:szCs w:val="28"/>
        </w:rPr>
        <w:t>-</w:t>
      </w:r>
      <w:r w:rsidRPr="00353BD7">
        <w:rPr>
          <w:bCs/>
          <w:szCs w:val="28"/>
        </w:rPr>
        <w:t>БМ</w:t>
      </w:r>
      <w:r w:rsidRPr="00353BD7">
        <w:t>) определённого ассортимента из сырья отдельных видов биоресурсов не должны зависеть от фактических результатов выпуска продукции, а определяться эксплуатационно-техническими характеристиками видов оборудования;</w:t>
      </w:r>
    </w:p>
    <w:p w14:paraId="6055CE77" w14:textId="77777777" w:rsidR="0034213F" w:rsidRPr="00353BD7" w:rsidRDefault="0034213F" w:rsidP="0034213F">
      <w:pPr>
        <w:pStyle w:val="a7"/>
        <w:spacing w:line="244" w:lineRule="auto"/>
        <w:ind w:firstLine="709"/>
      </w:pPr>
      <w:r w:rsidRPr="00353BD7">
        <w:rPr>
          <w:bCs/>
        </w:rPr>
        <w:t xml:space="preserve">- </w:t>
      </w:r>
      <w:r w:rsidRPr="00353BD7">
        <w:t>величина годовой производственной мощности каждого вида технологического оборудования при использовании сырья определённых водных биоресурсов может рассчитываться в соответствии с расчётным уровнем нахождения судна на промысле и с учётом среднего коэффициента работы этого оборудования за сутки промысла;</w:t>
      </w:r>
    </w:p>
    <w:p w14:paraId="56DEA390" w14:textId="77777777" w:rsidR="0034213F" w:rsidRPr="00353BD7" w:rsidRDefault="0034213F" w:rsidP="0034213F">
      <w:pPr>
        <w:pStyle w:val="a7"/>
        <w:spacing w:line="244" w:lineRule="auto"/>
        <w:ind w:firstLine="709"/>
      </w:pPr>
      <w:r w:rsidRPr="00353BD7">
        <w:t xml:space="preserve">- величина нахождения судна на промысле конкретного вида водных биоресурсов может определяться путём деления величины годовой квоты судовладельца на вылов (добычу) указанного вида водных биоресурсов </w:t>
      </w:r>
      <w:r w:rsidRPr="00353BD7">
        <w:lastRenderedPageBreak/>
        <w:t xml:space="preserve">судами данного типа, находящимися в эксплуатации у судовладельца, </w:t>
      </w:r>
      <w:r w:rsidRPr="00353BD7">
        <w:br/>
        <w:t xml:space="preserve">на показатель вылова этого вида водных биоресурсов за сутки промысла. </w:t>
      </w:r>
    </w:p>
    <w:p w14:paraId="3635C094" w14:textId="77777777" w:rsidR="0034213F" w:rsidRPr="00353BD7" w:rsidRDefault="0034213F" w:rsidP="0034213F">
      <w:pPr>
        <w:pStyle w:val="a7"/>
        <w:spacing w:line="244" w:lineRule="auto"/>
        <w:ind w:firstLine="709"/>
      </w:pPr>
      <w:r w:rsidRPr="00353BD7">
        <w:t xml:space="preserve">Показатели годовых производственных мощностей не должны пересчитываться на фактическое время нахождения судна на промысле, </w:t>
      </w:r>
      <w:r w:rsidRPr="00353BD7">
        <w:br/>
        <w:t>так как это приведёт к искажению величины использования производственных мощностей в отчётном году.</w:t>
      </w:r>
    </w:p>
    <w:p w14:paraId="4729AB82" w14:textId="77777777" w:rsidR="0034213F" w:rsidRPr="00353BD7" w:rsidRDefault="0034213F" w:rsidP="0034213F">
      <w:pPr>
        <w:pStyle w:val="a7"/>
        <w:spacing w:before="120" w:line="244" w:lineRule="auto"/>
        <w:ind w:firstLine="709"/>
        <w:rPr>
          <w:b/>
        </w:rPr>
      </w:pPr>
      <w:r w:rsidRPr="00353BD7">
        <w:t>В случае если в течение года имело место обоснованное увеличение или уменьшение квоты, можно рекомендовать пересчёт годовых производственных мощностей в соответствии с вышеуказанными рекомендациями.</w:t>
      </w:r>
    </w:p>
    <w:p w14:paraId="24A5677B" w14:textId="77777777" w:rsidR="0034213F" w:rsidRPr="00353BD7" w:rsidRDefault="0034213F" w:rsidP="0034213F">
      <w:pPr>
        <w:spacing w:before="120" w:line="244" w:lineRule="auto"/>
        <w:ind w:firstLine="709"/>
        <w:jc w:val="both"/>
        <w:rPr>
          <w:sz w:val="28"/>
        </w:rPr>
      </w:pPr>
      <w:r w:rsidRPr="00353BD7">
        <w:rPr>
          <w:b/>
          <w:sz w:val="28"/>
        </w:rPr>
        <w:t>Производственная мощность горнодобывающего предприятия</w:t>
      </w:r>
      <w:r w:rsidRPr="00353BD7">
        <w:rPr>
          <w:sz w:val="28"/>
        </w:rPr>
        <w:t xml:space="preserve"> определяется как согласованный уровень добычи полезных ископаемых (пункт 7 статьи 12 Закона Российской Федерации «О недрах»). При этом годовой уровень добычи устанавливается в соответствии с техническим проектом на разработку, в котором производственная мощность рассчитывается в соответствии с действующими нормами проектирования, требованиями по промышленной безопасности и нормами в сфере охраны окружающей среды. </w:t>
      </w:r>
    </w:p>
    <w:p w14:paraId="787F9792" w14:textId="77777777" w:rsidR="0034213F" w:rsidRPr="00353BD7" w:rsidRDefault="0034213F" w:rsidP="0034213F">
      <w:pPr>
        <w:spacing w:before="120" w:line="244" w:lineRule="auto"/>
        <w:ind w:firstLine="709"/>
        <w:jc w:val="both"/>
        <w:rPr>
          <w:szCs w:val="28"/>
          <w:u w:val="single"/>
        </w:rPr>
      </w:pPr>
      <w:r w:rsidRPr="00353BD7">
        <w:rPr>
          <w:sz w:val="28"/>
        </w:rPr>
        <w:t>Таким образом, использование оборудования следует считать полным в случае, если фактическая добыча нерудных материалов соответствует уровню производственной мощности, предусмотренной техническим проектом.</w:t>
      </w:r>
    </w:p>
    <w:p w14:paraId="51E6BD97" w14:textId="77777777" w:rsidR="0034213F" w:rsidRPr="00353BD7" w:rsidRDefault="0034213F" w:rsidP="0034213F">
      <w:pPr>
        <w:pStyle w:val="a7"/>
        <w:spacing w:before="120" w:line="244" w:lineRule="auto"/>
        <w:ind w:firstLine="709"/>
        <w:rPr>
          <w:b/>
          <w:sz w:val="24"/>
          <w:szCs w:val="24"/>
        </w:rPr>
      </w:pPr>
      <w:r w:rsidRPr="00353BD7">
        <w:rPr>
          <w:szCs w:val="28"/>
          <w:u w:val="single"/>
        </w:rPr>
        <w:t>Обращаем внимание</w:t>
      </w:r>
      <w:r w:rsidRPr="00353BD7">
        <w:rPr>
          <w:b/>
          <w:i/>
          <w:szCs w:val="28"/>
        </w:rPr>
        <w:t xml:space="preserve">, </w:t>
      </w:r>
      <w:r w:rsidRPr="00353BD7">
        <w:rPr>
          <w:szCs w:val="28"/>
        </w:rPr>
        <w:t xml:space="preserve">что организациями, осуществляющими полный цикл обработки угольной продукции – от подготовки к обогащению (дробление, классификация, </w:t>
      </w:r>
      <w:proofErr w:type="spellStart"/>
      <w:r w:rsidRPr="00353BD7">
        <w:rPr>
          <w:szCs w:val="28"/>
        </w:rPr>
        <w:t>грохочение</w:t>
      </w:r>
      <w:proofErr w:type="spellEnd"/>
      <w:r w:rsidRPr="00353BD7">
        <w:rPr>
          <w:szCs w:val="28"/>
        </w:rPr>
        <w:t xml:space="preserve">, измельчение) до непосредственно обогащения – по показателю «Выпуск продукции или количество переработанного сырья» (графа 16) должна быть отражена информация </w:t>
      </w:r>
      <w:r w:rsidRPr="00353BD7">
        <w:rPr>
          <w:szCs w:val="28"/>
        </w:rPr>
        <w:br/>
        <w:t>о выпуске угля обогащённого.</w:t>
      </w:r>
    </w:p>
    <w:p w14:paraId="3E7809F4" w14:textId="77777777" w:rsidR="009076D9" w:rsidRDefault="009076D9"/>
    <w:sectPr w:rsidR="00907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3F"/>
    <w:rsid w:val="0034213F"/>
    <w:rsid w:val="009076D9"/>
    <w:rsid w:val="00B053B1"/>
    <w:rsid w:val="00B6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3C05"/>
  <w15:chartTrackingRefBased/>
  <w15:docId w15:val="{0D673B11-C5DB-49AC-BB09-AA02A659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13F"/>
    <w:pPr>
      <w:spacing w:after="0" w:line="240" w:lineRule="auto"/>
    </w:pPr>
    <w:rPr>
      <w:rFonts w:ascii="Times New Roman" w:eastAsia="Times New Roman" w:hAnsi="Times New Roman" w:cs="Times New Roman"/>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34213F"/>
    <w:pPr>
      <w:spacing w:after="120"/>
    </w:pPr>
    <w:rPr>
      <w:sz w:val="20"/>
      <w:szCs w:val="20"/>
    </w:rPr>
  </w:style>
  <w:style w:type="character" w:customStyle="1" w:styleId="a4">
    <w:name w:val="Основной текст Знак"/>
    <w:basedOn w:val="a0"/>
    <w:uiPriority w:val="99"/>
    <w:semiHidden/>
    <w:rsid w:val="0034213F"/>
    <w:rPr>
      <w:rFonts w:ascii="Times New Roman" w:eastAsia="Times New Roman" w:hAnsi="Times New Roman" w:cs="Times New Roman"/>
      <w:kern w:val="0"/>
      <w:sz w:val="24"/>
      <w:szCs w:val="24"/>
      <w:lang w:eastAsia="zh-CN"/>
      <w14:ligatures w14:val="none"/>
    </w:rPr>
  </w:style>
  <w:style w:type="character" w:customStyle="1" w:styleId="1">
    <w:name w:val="Основной текст Знак1"/>
    <w:basedOn w:val="a0"/>
    <w:link w:val="a3"/>
    <w:rsid w:val="0034213F"/>
    <w:rPr>
      <w:rFonts w:ascii="Times New Roman" w:eastAsia="Times New Roman" w:hAnsi="Times New Roman" w:cs="Times New Roman"/>
      <w:kern w:val="0"/>
      <w:sz w:val="20"/>
      <w:szCs w:val="20"/>
      <w:lang w:eastAsia="zh-CN"/>
      <w14:ligatures w14:val="none"/>
    </w:rPr>
  </w:style>
  <w:style w:type="paragraph" w:styleId="a5">
    <w:name w:val="Body Text Indent"/>
    <w:basedOn w:val="a"/>
    <w:link w:val="10"/>
    <w:rsid w:val="0034213F"/>
    <w:pPr>
      <w:spacing w:after="120"/>
      <w:ind w:left="283"/>
    </w:pPr>
  </w:style>
  <w:style w:type="character" w:customStyle="1" w:styleId="a6">
    <w:name w:val="Основной текст с отступом Знак"/>
    <w:basedOn w:val="a0"/>
    <w:uiPriority w:val="99"/>
    <w:semiHidden/>
    <w:rsid w:val="0034213F"/>
    <w:rPr>
      <w:rFonts w:ascii="Times New Roman" w:eastAsia="Times New Roman" w:hAnsi="Times New Roman" w:cs="Times New Roman"/>
      <w:kern w:val="0"/>
      <w:sz w:val="24"/>
      <w:szCs w:val="24"/>
      <w:lang w:eastAsia="zh-CN"/>
      <w14:ligatures w14:val="none"/>
    </w:rPr>
  </w:style>
  <w:style w:type="character" w:customStyle="1" w:styleId="10">
    <w:name w:val="Основной текст с отступом Знак1"/>
    <w:basedOn w:val="a0"/>
    <w:link w:val="a5"/>
    <w:rsid w:val="0034213F"/>
    <w:rPr>
      <w:rFonts w:ascii="Times New Roman" w:eastAsia="Times New Roman" w:hAnsi="Times New Roman" w:cs="Times New Roman"/>
      <w:kern w:val="0"/>
      <w:sz w:val="24"/>
      <w:szCs w:val="24"/>
      <w:lang w:eastAsia="zh-CN"/>
      <w14:ligatures w14:val="none"/>
    </w:rPr>
  </w:style>
  <w:style w:type="paragraph" w:customStyle="1" w:styleId="a7">
    <w:name w:val="абз"/>
    <w:basedOn w:val="a"/>
    <w:rsid w:val="0034213F"/>
    <w:pPr>
      <w:ind w:firstLine="720"/>
      <w:jc w:val="both"/>
    </w:pPr>
    <w:rPr>
      <w:sz w:val="28"/>
      <w:szCs w:val="20"/>
    </w:rPr>
  </w:style>
  <w:style w:type="paragraph" w:customStyle="1" w:styleId="E22">
    <w:name w:val="Основной тексE2 с отступом 2"/>
    <w:basedOn w:val="a"/>
    <w:rsid w:val="0034213F"/>
    <w:pPr>
      <w:widowControl w:val="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Минская Лариса Анатольевна</dc:creator>
  <cp:keywords/>
  <dc:description/>
  <cp:lastModifiedBy>Минская Лариса Анатольевна</cp:lastModifiedBy>
  <cp:revision>2</cp:revision>
  <dcterms:created xsi:type="dcterms:W3CDTF">2024-01-11T12:35:00Z</dcterms:created>
  <dcterms:modified xsi:type="dcterms:W3CDTF">2024-01-11T12:49:00Z</dcterms:modified>
</cp:coreProperties>
</file>